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/>
        <w:spacing w:line="360" w:lineRule="auto"/>
        <w:jc w:val="center"/>
        <w:rPr>
          <w:rFonts w:hint="eastAsia" w:ascii="仿宋" w:hAnsi="仿宋" w:eastAsia="仿宋" w:cs="Times New Roman"/>
          <w:b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Times New Roman"/>
          <w:b/>
          <w:bCs w:val="0"/>
          <w:sz w:val="32"/>
          <w:szCs w:val="32"/>
          <w:lang w:eastAsia="zh-CN"/>
        </w:rPr>
        <w:t>“风雨百年路，共铸新辉煌”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 w:val="0"/>
          <w:sz w:val="32"/>
          <w:szCs w:val="32"/>
          <w:lang w:val="en-US" w:eastAsia="zh-CN"/>
        </w:rPr>
        <w:t>--</w:t>
      </w:r>
      <w:r>
        <w:rPr>
          <w:rFonts w:hint="eastAsia" w:ascii="仿宋" w:hAnsi="仿宋" w:eastAsia="仿宋" w:cs="Times New Roman"/>
          <w:b/>
          <w:bCs w:val="0"/>
          <w:sz w:val="32"/>
          <w:szCs w:val="32"/>
          <w:lang w:eastAsia="zh-CN"/>
        </w:rPr>
        <w:t>庆祝建党百年短视频征集活动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eastAsia="zh-CN"/>
        </w:rPr>
        <w:t>个人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信息表</w:t>
      </w:r>
    </w:p>
    <w:bookmarkEnd w:id="0"/>
    <w:tbl>
      <w:tblPr>
        <w:tblStyle w:val="3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作品时长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电子邮箱（发放奖品）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式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360" w:lineRule="auto"/>
              <w:ind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  <w:t>□横版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ind w:firstLine="640" w:firstLineChars="20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  <w:t>竖版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35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作品类别</w:t>
            </w:r>
          </w:p>
        </w:tc>
        <w:tc>
          <w:tcPr>
            <w:tcW w:w="5595" w:type="dxa"/>
            <w:tcBorders>
              <w:bottom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640" w:firstLineChars="200"/>
              <w:rPr>
                <w:rFonts w:hint="eastAsia" w:ascii="仿宋" w:hAnsi="仿宋" w:eastAsia="仿宋" w:cs="Times New Roman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  <w:lang w:val="en-US" w:eastAsia="zh-CN"/>
              </w:rPr>
              <w:t>□1.</w:t>
            </w:r>
            <w:r>
              <w:rPr>
                <w:rFonts w:hint="eastAsia" w:ascii="仿宋" w:hAnsi="仿宋" w:eastAsia="仿宋" w:cs="Times New Roman"/>
                <w:bCs/>
                <w:sz w:val="32"/>
                <w:szCs w:val="32"/>
                <w:lang w:eastAsia="zh-CN"/>
              </w:rPr>
              <w:t>推荐红色文献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640" w:firstLineChars="200"/>
              <w:rPr>
                <w:rFonts w:hint="eastAsia" w:ascii="仿宋" w:hAnsi="仿宋" w:eastAsia="仿宋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  <w:lang w:val="en-US" w:eastAsia="zh-CN"/>
              </w:rPr>
              <w:t>□2.朗诵红色诗歌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640" w:firstLineChars="200"/>
              <w:rPr>
                <w:rFonts w:hint="default" w:ascii="仿宋" w:hAnsi="仿宋" w:eastAsia="仿宋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  <w:lang w:val="en-US" w:eastAsia="zh-CN"/>
              </w:rPr>
              <w:t>□3.演唱红色歌曲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640" w:firstLineChars="200"/>
              <w:rPr>
                <w:rFonts w:hint="default" w:ascii="仿宋" w:hAnsi="仿宋" w:eastAsia="仿宋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  <w:lang w:val="en-US" w:eastAsia="zh-CN"/>
              </w:rPr>
              <w:t>□4.讲述动人故事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640" w:firstLineChars="200"/>
              <w:rPr>
                <w:rFonts w:hint="default" w:ascii="仿宋" w:hAnsi="仿宋" w:eastAsia="仿宋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  <w:lang w:val="en-US" w:eastAsia="zh-CN"/>
              </w:rPr>
              <w:t>□5.红色书画创作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640" w:firstLineChars="200"/>
              <w:rPr>
                <w:rFonts w:hint="default" w:ascii="仿宋" w:hAnsi="仿宋" w:eastAsia="仿宋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  <w:lang w:val="en-US" w:eastAsia="zh-CN"/>
              </w:rPr>
              <w:t>□6.展示红色老物件</w:t>
            </w:r>
          </w:p>
          <w:p>
            <w:pPr>
              <w:pStyle w:val="5"/>
              <w:widowControl/>
              <w:spacing w:line="360" w:lineRule="auto"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□7.其它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35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报送单位</w:t>
            </w:r>
          </w:p>
        </w:tc>
        <w:tc>
          <w:tcPr>
            <w:tcW w:w="5595" w:type="dxa"/>
            <w:vAlign w:val="center"/>
          </w:tcPr>
          <w:p>
            <w:pPr>
              <w:pStyle w:val="5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449580</wp:posOffset>
                      </wp:positionV>
                      <wp:extent cx="952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35.4pt;height:0.05pt;width:0.75pt;z-index:251659264;mso-width-relative:page;mso-height-relative:page;" filled="f" stroked="t" coordsize="21600,21600" o:gfxdata="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FC2G&#10;1AAAAAcBAAAPAAAAAAAAAAEAIAAAACIAAABkcnMvZG93bnJldi54bWxQSwECFAAUAAAACACHTuJA&#10;PK8HU+wBAADjAwAADgAAAAAAAAABACAAAAAj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widowControl/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C5810"/>
    <w:rsid w:val="195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仿宋"/>
      <w:b/>
      <w:kern w:val="44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2021-04-19T01:55:00Z</dcterms:created>
  <dc:creator>常馨</dc:creator>
  <cp:lastModifiedBy>常馨</cp:lastModifiedBy>
  <dcterms:modified xsi:type="dcterms:W3CDTF">2021-04-19T02:21:05Z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98C95373E0C0428C87E87F4DF5C6DCA1</vt:lpwstr>
  </property>
</Properties>
</file>