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pStyle w:val="2"/>
        <w:keepNext w:val="0"/>
        <w:keepLines w:val="0"/>
        <w:widowControl/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/>
          <w:sz w:val="36"/>
          <w:szCs w:val="36"/>
          <w:highlight w:val="none"/>
        </w:rPr>
        <w:t>关于举办第</w:t>
      </w:r>
      <w:r>
        <w:rPr>
          <w:rFonts w:hint="eastAsia" w:asciiTheme="minorEastAsia" w:hAnsiTheme="minorEastAsia" w:eastAsiaTheme="minorEastAsia"/>
          <w:sz w:val="36"/>
          <w:szCs w:val="36"/>
          <w:highlight w:val="none"/>
          <w:lang w:eastAsia="zh-CN"/>
        </w:rPr>
        <w:t>三</w:t>
      </w:r>
      <w:r>
        <w:rPr>
          <w:rFonts w:hint="eastAsia" w:asciiTheme="minorEastAsia" w:hAnsiTheme="minorEastAsia" w:eastAsiaTheme="minorEastAsia"/>
          <w:sz w:val="36"/>
          <w:szCs w:val="36"/>
          <w:highlight w:val="none"/>
        </w:rPr>
        <w:t>季“阅读节里有诗意，三秦无处</w:t>
      </w:r>
    </w:p>
    <w:p>
      <w:pPr>
        <w:pStyle w:val="2"/>
        <w:keepNext w:val="0"/>
        <w:keepLines w:val="0"/>
        <w:widowControl/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/>
          <w:sz w:val="36"/>
          <w:szCs w:val="36"/>
          <w:highlight w:val="none"/>
        </w:rPr>
        <w:t>不飞花”网络诗词大会的通知</w:t>
      </w:r>
    </w:p>
    <w:p>
      <w:pPr>
        <w:spacing w:line="360" w:lineRule="auto"/>
        <w:rPr>
          <w:highlight w:val="none"/>
        </w:rPr>
      </w:pPr>
    </w:p>
    <w:p>
      <w:pPr>
        <w:widowControl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陕西公共图书馆服务联盟于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2017年首次举办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“阅读节里有诗意，三秦无处不飞花”网络诗词大会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，迄今连续举办两季。这些活动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在联盟成员馆合力宣传下得到了省内外读者的广泛参与。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在我省民众中树立“阅读文化节”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与网络诗词大会的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品牌效应，使阅读文化节的影响深入人心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本届陕西省阅读文化节将继续开展第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季网络诗词大会。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馆应通过线上线下合力宣传，进一步激发公众对中华传统文化的持续关注和热爱，体会中国诗词之美。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both"/>
        <w:rPr>
          <w:rFonts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活动主题：</w:t>
      </w:r>
    </w:p>
    <w:p>
      <w:pPr>
        <w:pStyle w:val="7"/>
        <w:spacing w:line="360" w:lineRule="auto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第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季“阅读节里有诗意，三秦无处不飞花”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网络诗词大会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活动时间：</w:t>
      </w:r>
    </w:p>
    <w:p>
      <w:pPr>
        <w:pStyle w:val="7"/>
        <w:spacing w:line="360" w:lineRule="auto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年9月1日—10月15日</w:t>
      </w:r>
    </w:p>
    <w:p>
      <w:pPr>
        <w:pStyle w:val="3"/>
        <w:widowControl/>
        <w:spacing w:before="0" w:beforeAutospacing="0" w:after="0" w:afterAutospacing="0" w:line="360" w:lineRule="auto"/>
        <w:ind w:firstLine="560"/>
        <w:jc w:val="both"/>
        <w:rPr>
          <w:rFonts w:ascii="仿宋" w:hAnsi="仿宋" w:eastAsia="仿宋" w:cs="仿宋"/>
          <w:b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 xml:space="preserve">三、 </w:t>
      </w:r>
      <w:r>
        <w:rPr>
          <w:rFonts w:ascii="仿宋" w:hAnsi="仿宋" w:eastAsia="仿宋" w:cs="仿宋"/>
          <w:b/>
          <w:kern w:val="2"/>
          <w:sz w:val="32"/>
          <w:szCs w:val="32"/>
          <w:highlight w:val="none"/>
        </w:rPr>
        <w:t>活动内容：</w:t>
      </w:r>
    </w:p>
    <w:p>
      <w:pPr>
        <w:pStyle w:val="3"/>
        <w:widowControl/>
        <w:spacing w:before="0" w:beforeAutospacing="0" w:after="0" w:afterAutospacing="0" w:line="360" w:lineRule="auto"/>
        <w:ind w:firstLine="560"/>
        <w:jc w:val="both"/>
        <w:rPr>
          <w:rFonts w:ascii="仿宋" w:hAnsi="仿宋" w:eastAsia="仿宋" w:cs="仿宋"/>
          <w:b/>
          <w:kern w:val="2"/>
          <w:sz w:val="32"/>
          <w:szCs w:val="32"/>
          <w:highlight w:val="none"/>
        </w:rPr>
      </w:pPr>
      <w:r>
        <w:rPr>
          <w:rFonts w:ascii="仿宋" w:hAnsi="仿宋" w:eastAsia="仿宋" w:cs="仿宋"/>
          <w:b/>
          <w:kern w:val="2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一</w:t>
      </w:r>
      <w:r>
        <w:rPr>
          <w:rFonts w:ascii="仿宋" w:hAnsi="仿宋" w:eastAsia="仿宋" w:cs="仿宋"/>
          <w:b/>
          <w:kern w:val="2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“全民阅读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最美三秦”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说文解字征文活动</w:t>
      </w:r>
    </w:p>
    <w:p>
      <w:pPr>
        <w:pStyle w:val="3"/>
        <w:widowControl/>
        <w:spacing w:before="0" w:beforeAutospacing="0" w:after="0" w:afterAutospacing="0" w:line="360" w:lineRule="auto"/>
        <w:ind w:firstLine="56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ascii="仿宋" w:hAnsi="仿宋" w:eastAsia="仿宋" w:cs="仿宋"/>
          <w:kern w:val="2"/>
          <w:sz w:val="32"/>
          <w:szCs w:val="32"/>
          <w:highlight w:val="none"/>
        </w:rPr>
        <w:t>汉字是世界上最古老的文字之一，也是上古时期各大文字体系中唯一传承至今的文字。汉字起源发展的历史就是中国古代文明发展的历史，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独特的方块汉字，在人类文字发展史上独树一帜，有着无穷的魅力。每个汉字有它特有的内涵，而同样的汉字组成不同的词语又赋予它新的含义。</w:t>
      </w:r>
    </w:p>
    <w:p>
      <w:pPr>
        <w:pStyle w:val="3"/>
        <w:widowControl/>
        <w:spacing w:before="0" w:beforeAutospacing="0" w:after="0" w:afterAutospacing="0" w:line="360" w:lineRule="auto"/>
        <w:ind w:firstLine="560"/>
        <w:jc w:val="both"/>
        <w:rPr>
          <w:rFonts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本届陕西省阅读文化节的主题为“全民阅读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最美三秦”，以这八字主题为切入点，充分联想与释义，阐释其中所蕴含的文化深意。</w:t>
      </w:r>
    </w:p>
    <w:p>
      <w:pPr>
        <w:pStyle w:val="3"/>
        <w:widowControl/>
        <w:spacing w:before="0" w:beforeAutospacing="0" w:after="0" w:afterAutospacing="0" w:line="360" w:lineRule="auto"/>
        <w:ind w:firstLine="56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（二）“全民阅读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最美三秦”藏头诗</w:t>
      </w:r>
      <w:r>
        <w:rPr>
          <w:rFonts w:ascii="仿宋" w:hAnsi="仿宋" w:eastAsia="仿宋" w:cs="仿宋"/>
          <w:b/>
          <w:kern w:val="2"/>
          <w:sz w:val="32"/>
          <w:szCs w:val="32"/>
          <w:highlight w:val="none"/>
        </w:rPr>
        <w:t>征集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eastAsia="zh-CN"/>
        </w:rPr>
        <w:t>活动</w:t>
      </w:r>
    </w:p>
    <w:p>
      <w:pPr>
        <w:pStyle w:val="3"/>
        <w:widowControl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“全民阅读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最美三秦”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为引子，创作藏头诗。诗词的体裁形式不限，古体诗、现代诗歌均可，但必须在句首出现相应的汉字，符合藏头诗的要求。</w:t>
      </w:r>
    </w:p>
    <w:p>
      <w:pPr>
        <w:pStyle w:val="3"/>
        <w:widowControl/>
        <w:spacing w:before="0" w:beforeAutospacing="0" w:after="0" w:afterAutospacing="0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附：</w:t>
      </w:r>
      <w:r>
        <w:rPr>
          <w:rFonts w:ascii="仿宋" w:hAnsi="仿宋" w:eastAsia="仿宋" w:cs="仿宋"/>
          <w:kern w:val="2"/>
          <w:sz w:val="32"/>
          <w:szCs w:val="32"/>
          <w:highlight w:val="none"/>
        </w:rPr>
        <w:t>藏头诗，是杂体诗中的一种，有三种形式：一种是首联与中二联六句皆言所寓之景，而不点破题意，直到结联才点出主题；二是将诗头句一字暗藏于末一字中；三是将所说之事分藏于诗句之首。现在常见的是第三种，每句的第一个字连起来读，可以传达作者的某种特有的思想。</w:t>
      </w:r>
      <w:r>
        <w:rPr>
          <w:rFonts w:ascii="仿宋" w:hAnsi="仿宋" w:eastAsia="仿宋" w:cs="仿宋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仿宋" w:hAnsi="仿宋" w:eastAsia="仿宋" w:cs="仿宋"/>
          <w:b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三）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全民阅读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</w:rPr>
        <w:t>最美三秦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诗词翻改比兴活动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val="en-US" w:eastAsia="zh-CN"/>
        </w:rPr>
        <w:t>“春眠不觉晓，处处蚊子咬……”，这顽皮的篡改估计很多人都听过也喜欢吧？那些我们代代相诵、耳熟能详的国粹诗词，以通俗幽默的形式得到传承和模仿。邀请读者驰骋想像、大开脑洞改写诗词，让我们贴近生活，向传统致敬！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left="555" w:leftChars="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四、征集要求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1、三项子活动中，读者可任选一项参与，也可全部参与。投稿作品须符合三项子活动的征集内容。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、个人投稿者按照要求填写参赛信息表，参与该项活动的联盟成员馆工作人员填写本馆活动作品一览表。活动截止日期前，对本馆作品进行初步筛选，剔除不符合活动要求的作品；合格作品以“序号+题名+作者姓名”命名。将作品打包发送至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u w:val="single"/>
          <w:lang w:val="en-US" w:eastAsia="zh-CN"/>
        </w:rPr>
        <w:instrText xml:space="preserve"> HYPERLINK "mailto:stydtgb@163.com"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u w:val="singl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stydtgb@163.com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u w:val="singl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并在标题中注明“飞花令”。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3、作品必须为原创，如是抄袭作品，由投稿人承担所有的法律责任。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firstLine="640"/>
        <w:jc w:val="both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五、奖项设置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1、主办方将根据来稿数量酌情设置奖项。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eastAsia="zh-CN"/>
        </w:rPr>
        <w:t>三项子活动各自评奖，</w:t>
      </w:r>
      <w:r>
        <w:rPr>
          <w:rFonts w:hint="eastAsia" w:ascii="仿宋" w:hAnsi="仿宋" w:eastAsia="仿宋" w:cs="仿宋"/>
          <w:bCs/>
          <w:sz w:val="32"/>
          <w:szCs w:val="40"/>
          <w:lang w:eastAsia="zh-CN"/>
        </w:rPr>
        <w:t>获奖者将获得由陕西公共图书馆服务联盟颁发的获奖证书及奖品（</w:t>
      </w:r>
      <w:r>
        <w:rPr>
          <w:rFonts w:hint="eastAsia" w:ascii="仿宋" w:hAnsi="仿宋" w:eastAsia="仿宋" w:cs="仿宋"/>
          <w:bCs/>
          <w:sz w:val="32"/>
          <w:szCs w:val="40"/>
          <w:highlight w:val="none"/>
          <w:lang w:eastAsia="zh-CN"/>
        </w:rPr>
        <w:t>价值</w:t>
      </w:r>
      <w:r>
        <w:rPr>
          <w:rFonts w:hint="eastAsia" w:ascii="仿宋" w:hAnsi="仿宋" w:eastAsia="仿宋" w:cs="仿宋"/>
          <w:bCs/>
          <w:color w:val="auto"/>
          <w:sz w:val="32"/>
          <w:szCs w:val="40"/>
          <w:highlight w:val="none"/>
          <w:lang w:val="en-US" w:eastAsia="zh-CN"/>
        </w:rPr>
        <w:t>50元的图书E卡或其他</w:t>
      </w:r>
      <w:r>
        <w:rPr>
          <w:rFonts w:hint="eastAsia" w:ascii="仿宋" w:hAnsi="仿宋" w:eastAsia="仿宋" w:cs="仿宋"/>
          <w:bCs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40"/>
          <w:highlight w:val="none"/>
          <w:lang w:val="en-US" w:eastAsia="zh-CN"/>
        </w:rPr>
        <w:t>。</w:t>
      </w:r>
    </w:p>
    <w:p>
      <w:pPr>
        <w:pStyle w:val="9"/>
        <w:spacing w:line="360" w:lineRule="auto"/>
        <w:ind w:firstLine="640"/>
        <w:jc w:val="both"/>
        <w:rPr>
          <w:rFonts w:ascii="仿宋" w:hAnsi="仿宋" w:eastAsia="仿宋"/>
          <w:sz w:val="32"/>
          <w:szCs w:val="32"/>
          <w:highlight w:val="none"/>
          <w:shd w:val="clear" w:color="auto" w:fill="FFFFFF"/>
        </w:rPr>
      </w:pP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2、主办方将于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  <w:highlight w:val="none"/>
          <w:u w:val="single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30</w:t>
      </w:r>
      <w:r>
        <w:rPr>
          <w:rFonts w:ascii="仿宋" w:hAnsi="仿宋" w:eastAsia="仿宋"/>
          <w:sz w:val="32"/>
          <w:szCs w:val="32"/>
          <w:highlight w:val="none"/>
          <w:u w:val="single"/>
          <w:shd w:val="clear" w:color="auto" w:fill="FFFFFF"/>
        </w:rPr>
        <w:t>日</w:t>
      </w: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在</w:t>
      </w:r>
      <w:r>
        <w:rPr>
          <w:rFonts w:ascii="仿宋" w:hAnsi="仿宋" w:eastAsia="仿宋"/>
          <w:sz w:val="32"/>
          <w:szCs w:val="32"/>
          <w:highlight w:val="none"/>
          <w:u w:val="none"/>
          <w:shd w:val="clear" w:color="auto" w:fill="FFFFFF"/>
        </w:rPr>
        <w:t>陕西省图书馆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shd w:val="clear" w:color="auto" w:fill="FFFFFF"/>
        </w:rPr>
        <w:t>及陕西公共图书馆服务联盟</w:t>
      </w:r>
      <w:r>
        <w:rPr>
          <w:rFonts w:ascii="仿宋" w:hAnsi="仿宋" w:eastAsia="仿宋"/>
          <w:sz w:val="32"/>
          <w:szCs w:val="32"/>
          <w:highlight w:val="none"/>
          <w:u w:val="none"/>
          <w:shd w:val="clear" w:color="auto" w:fill="FFFFFF"/>
        </w:rPr>
        <w:t>官网公布</w:t>
      </w: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获奖作品并做线上展示。</w:t>
      </w:r>
    </w:p>
    <w:p>
      <w:pPr>
        <w:pStyle w:val="9"/>
        <w:spacing w:line="360" w:lineRule="auto"/>
        <w:ind w:firstLine="640"/>
        <w:jc w:val="both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3、获奖结果公示后，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eastAsia="zh-CN"/>
        </w:rPr>
        <w:t>主任委员馆将颁发优秀组织奖。</w:t>
      </w:r>
      <w:r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通过地区图书馆参与活动的读者可于公示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前去地区图书馆领取；自主参与活动的获奖人员需主动联系主办方确认奖品发放事宜。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firstLine="640"/>
        <w:jc w:val="left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left="642" w:leftChars="0"/>
        <w:jc w:val="left"/>
        <w:rPr>
          <w:rFonts w:hint="default" w:ascii="仿宋" w:hAnsi="仿宋" w:eastAsia="仿宋" w:cs="仿宋"/>
          <w:b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附件：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2-1、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“全民阅读，最美三秦”说文解字活动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参赛信息表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2-2、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“全民阅读，最美三秦”说文解字活动作品一览表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2-3、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“全民阅读，最美三秦”藏头诗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征集活动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参赛信息表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2-4、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“全民阅读，最美三秦”藏头诗</w:t>
      </w:r>
      <w:r>
        <w:rPr>
          <w:rFonts w:ascii="仿宋" w:hAnsi="仿宋" w:eastAsia="仿宋" w:cs="仿宋"/>
          <w:sz w:val="32"/>
          <w:szCs w:val="32"/>
          <w:highlight w:val="none"/>
        </w:rPr>
        <w:t>征集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作品一览表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2-5、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诗词翻改比兴活动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参赛信息表</w:t>
      </w:r>
    </w:p>
    <w:p>
      <w:pPr>
        <w:numPr>
          <w:ilvl w:val="0"/>
          <w:numId w:val="2"/>
        </w:numPr>
        <w:spacing w:line="360" w:lineRule="auto"/>
        <w:ind w:firstLine="56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“全民阅读，最美三秦”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诗词翻改比兴活动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作品一览表</w:t>
      </w:r>
    </w:p>
    <w:p>
      <w:pPr>
        <w:spacing w:line="360" w:lineRule="auto"/>
        <w:ind w:left="56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ind w:left="56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附件2-1：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“全民阅读，最美三秦”说文解字征文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参赛信息表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8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正文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kern w:val="0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32"/>
          <w:highlight w:val="none"/>
        </w:rPr>
        <w:t>填表说明：组别分为：成人组、青少年组（18周岁以下均属于青少年组）。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附件2-2：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XX市（县）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“全民阅读，最美三秦”说文解字征文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活动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参赛一览表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时间：  月  日   填表人：     联系电话：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7"/>
        <w:gridCol w:w="1350"/>
        <w:gridCol w:w="1438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（此页不够可加页）</w:t>
      </w:r>
    </w:p>
    <w:p>
      <w:pPr>
        <w:spacing w:line="360" w:lineRule="auto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附件2-3：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“全民阅读，最美三秦”藏头诗征集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参赛信息表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8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正文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32"/>
          <w:highlight w:val="none"/>
        </w:rPr>
        <w:t>填表说明：组别分为：成人组、青少年组（18周岁以下均属于青少年组）。</w:t>
      </w:r>
    </w:p>
    <w:p>
      <w:pPr>
        <w:spacing w:line="360" w:lineRule="auto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附件2-4：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XX市（县）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“全民阅读，最美三秦”藏头诗征集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活动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参赛一览表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时间：  月  日   填表人：     联系电话：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7"/>
        <w:gridCol w:w="1350"/>
        <w:gridCol w:w="1438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spacing w:line="360" w:lineRule="auto"/>
        <w:rPr>
          <w:rFonts w:ascii="仿宋" w:hAnsi="仿宋" w:eastAsia="仿宋"/>
          <w:sz w:val="28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（此页不够可加页）</w:t>
      </w:r>
    </w:p>
    <w:p>
      <w:pPr>
        <w:rPr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：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诗词翻改比兴活动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参赛信息表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8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正文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32"/>
          <w:highlight w:val="none"/>
        </w:rPr>
        <w:t>填表说明：组别分为：成人组、青少年组（18周岁以下均属于青少年组）。</w:t>
      </w:r>
    </w:p>
    <w:p>
      <w:pPr>
        <w:spacing w:line="360" w:lineRule="auto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附件2-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：</w:t>
      </w:r>
    </w:p>
    <w:bookmarkEnd w:id="0"/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XX市（县）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诗词翻改比兴活动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参赛一览表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时间：  月  日   填表人：     联系电话：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7"/>
        <w:gridCol w:w="1350"/>
        <w:gridCol w:w="1438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（此页不够可加页）</w:t>
      </w:r>
    </w:p>
    <w:p>
      <w:pPr>
        <w:rPr>
          <w:highlight w:val="none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EB70"/>
    <w:multiLevelType w:val="singleLevel"/>
    <w:tmpl w:val="5791EB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7B4125"/>
    <w:multiLevelType w:val="multilevel"/>
    <w:tmpl w:val="6E7B4125"/>
    <w:lvl w:ilvl="0" w:tentative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B321A"/>
    <w:rsid w:val="00B42436"/>
    <w:rsid w:val="07EE366F"/>
    <w:rsid w:val="08ED5EE1"/>
    <w:rsid w:val="100B6D1D"/>
    <w:rsid w:val="12E16C21"/>
    <w:rsid w:val="1EDF265A"/>
    <w:rsid w:val="20DF64FF"/>
    <w:rsid w:val="20E974A1"/>
    <w:rsid w:val="24857B78"/>
    <w:rsid w:val="31E06FE8"/>
    <w:rsid w:val="34D3065B"/>
    <w:rsid w:val="44EE5BCC"/>
    <w:rsid w:val="45CB590B"/>
    <w:rsid w:val="4DED696A"/>
    <w:rsid w:val="590127C7"/>
    <w:rsid w:val="60640E22"/>
    <w:rsid w:val="6247163C"/>
    <w:rsid w:val="67C968EB"/>
    <w:rsid w:val="67E8212E"/>
    <w:rsid w:val="680B321A"/>
    <w:rsid w:val="6F0237D4"/>
    <w:rsid w:val="753023A5"/>
    <w:rsid w:val="767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2019-06-27T05:28:00Z</dcterms:created>
  <dc:creator>Administrator</dc:creator>
  <cp:lastModifiedBy>麦卡卡╮</cp:lastModifiedBy>
  <dcterms:modified xsi:type="dcterms:W3CDTF">2019-07-12T06:01:01Z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